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EE4" w:rsidRPr="004B3296" w:rsidRDefault="00AD4650" w:rsidP="00AD4650">
      <w:pPr>
        <w:jc w:val="center"/>
        <w:rPr>
          <w:b/>
          <w:sz w:val="28"/>
          <w:szCs w:val="28"/>
        </w:rPr>
      </w:pPr>
      <w:r w:rsidRPr="004B3296">
        <w:rPr>
          <w:b/>
          <w:sz w:val="28"/>
          <w:szCs w:val="28"/>
        </w:rPr>
        <w:t>2</w:t>
      </w:r>
      <w:r w:rsidRPr="004B3296">
        <w:rPr>
          <w:b/>
          <w:sz w:val="28"/>
          <w:szCs w:val="28"/>
          <w:vertAlign w:val="superscript"/>
        </w:rPr>
        <w:t>nd</w:t>
      </w:r>
      <w:r w:rsidRPr="004B3296">
        <w:rPr>
          <w:b/>
          <w:sz w:val="28"/>
          <w:szCs w:val="28"/>
        </w:rPr>
        <w:t xml:space="preserve"> Phase Livestock &amp; Fish CRP concepts</w:t>
      </w:r>
    </w:p>
    <w:p w:rsidR="00AD4650" w:rsidRPr="00AD4650" w:rsidRDefault="00AD4650" w:rsidP="00AD4650">
      <w:pPr>
        <w:jc w:val="center"/>
        <w:rPr>
          <w:b/>
        </w:rPr>
      </w:pPr>
      <w:r w:rsidRPr="00AD4650">
        <w:rPr>
          <w:b/>
        </w:rPr>
        <w:t>Initial PPMC Brainstorming, 8</w:t>
      </w:r>
      <w:r w:rsidRPr="00AD4650">
        <w:rPr>
          <w:b/>
          <w:vertAlign w:val="superscript"/>
        </w:rPr>
        <w:t xml:space="preserve"> </w:t>
      </w:r>
      <w:r w:rsidRPr="00AD4650">
        <w:rPr>
          <w:b/>
        </w:rPr>
        <w:t>December 2014, Kampala</w:t>
      </w:r>
    </w:p>
    <w:p w:rsidR="00AD4650" w:rsidRDefault="00AD4650"/>
    <w:p w:rsidR="00AD4650" w:rsidRPr="004B3296" w:rsidRDefault="00AD4650">
      <w:pPr>
        <w:rPr>
          <w:b/>
          <w:u w:val="single"/>
        </w:rPr>
      </w:pPr>
      <w:r w:rsidRPr="004B3296">
        <w:rPr>
          <w:b/>
          <w:u w:val="single"/>
        </w:rPr>
        <w:t>SCENARIO 1: Continuation of Phase 1 Concept</w:t>
      </w:r>
    </w:p>
    <w:p w:rsidR="00AD4650" w:rsidRDefault="00AD4650">
      <w:r>
        <w:t xml:space="preserve">Under this scenario, the original scope of </w:t>
      </w:r>
      <w:r w:rsidR="00F56BE9">
        <w:t>the L&amp;F</w:t>
      </w:r>
      <w:r>
        <w:t xml:space="preserve"> </w:t>
      </w:r>
      <w:r w:rsidR="00F56BE9">
        <w:t xml:space="preserve">CRP </w:t>
      </w:r>
      <w:r>
        <w:t xml:space="preserve">around sustainable intensification for food and nutritional security through pro-poor transformation of animal-source food value chains is maintained. </w:t>
      </w:r>
      <w:r w:rsidR="004B786C">
        <w:t>The current basic portfolio of Flagships is continued, with some adjustments to reflect our ambitions to expand work on environmental and nutritional dimensions. This will require a larger budget, but will need to acknowledge the challenges in securing adequate bilateral funding for the work at value chain level.</w:t>
      </w:r>
      <w:r w:rsidR="004B3296">
        <w:t xml:space="preserve"> Same set of CGIAR and no</w:t>
      </w:r>
      <w:r w:rsidR="003F61C7">
        <w:t>n-CGIAR partners, with strong emphasis on recognizing regional and national partners as part of the proposal.</w:t>
      </w:r>
    </w:p>
    <w:p w:rsidR="004B786C" w:rsidRDefault="004B786C">
      <w:r>
        <w:t>Technology platforms:</w:t>
      </w:r>
    </w:p>
    <w:p w:rsidR="00D34AE0" w:rsidRDefault="004B786C" w:rsidP="00D34AE0">
      <w:pPr>
        <w:ind w:left="993" w:hanging="993"/>
      </w:pPr>
      <w:r>
        <w:t>Flagship 1: Animal health</w:t>
      </w:r>
      <w:r w:rsidR="00D34AE0">
        <w:t xml:space="preserve"> </w:t>
      </w:r>
    </w:p>
    <w:p w:rsidR="00D34AE0" w:rsidRDefault="004B3296" w:rsidP="00D34AE0">
      <w:pPr>
        <w:pStyle w:val="ListParagraph"/>
        <w:numPr>
          <w:ilvl w:val="0"/>
          <w:numId w:val="1"/>
        </w:numPr>
      </w:pPr>
      <w:r>
        <w:t>S</w:t>
      </w:r>
      <w:r w:rsidR="00D34AE0">
        <w:t>till need clear impact-driven focus about enabling farmers to reduce losses and improve public health</w:t>
      </w:r>
    </w:p>
    <w:p w:rsidR="00D34AE0" w:rsidRDefault="004B3296" w:rsidP="00D34AE0">
      <w:pPr>
        <w:pStyle w:val="ListParagraph"/>
        <w:numPr>
          <w:ilvl w:val="0"/>
          <w:numId w:val="1"/>
        </w:numPr>
      </w:pPr>
      <w:r>
        <w:t>C</w:t>
      </w:r>
      <w:r w:rsidR="00D34AE0">
        <w:t>learer balance on shorter and longer term product lines</w:t>
      </w:r>
    </w:p>
    <w:p w:rsidR="00D34AE0" w:rsidRDefault="00D34AE0" w:rsidP="00D34AE0">
      <w:pPr>
        <w:ind w:left="993" w:hanging="993"/>
      </w:pPr>
      <w:r>
        <w:t>Flagship 2: Animal genetics</w:t>
      </w:r>
    </w:p>
    <w:p w:rsidR="004B3296" w:rsidRDefault="004B3296" w:rsidP="00D34AE0">
      <w:pPr>
        <w:pStyle w:val="ListParagraph"/>
        <w:numPr>
          <w:ilvl w:val="0"/>
          <w:numId w:val="2"/>
        </w:numPr>
      </w:pPr>
      <w:r>
        <w:t>I</w:t>
      </w:r>
      <w:r w:rsidR="00D34AE0">
        <w:t>mpact</w:t>
      </w:r>
      <w:r>
        <w:t>-driven focus around understanding sources of ‘yield gap’ while continuing to raise levels of genetic potential</w:t>
      </w:r>
    </w:p>
    <w:p w:rsidR="00D34AE0" w:rsidRDefault="004B3296" w:rsidP="00D34AE0">
      <w:pPr>
        <w:pStyle w:val="ListParagraph"/>
        <w:numPr>
          <w:ilvl w:val="0"/>
          <w:numId w:val="2"/>
        </w:numPr>
      </w:pPr>
      <w:r>
        <w:t>C</w:t>
      </w:r>
      <w:r w:rsidR="00D34AE0">
        <w:t>learer balance on shorter and longer term product lines</w:t>
      </w:r>
    </w:p>
    <w:p w:rsidR="004B3296" w:rsidRDefault="004B3296" w:rsidP="004B3296">
      <w:r>
        <w:t>Flagship 3: Feed &amp; forages for productivity and environmental benefits</w:t>
      </w:r>
    </w:p>
    <w:p w:rsidR="004B3296" w:rsidRDefault="004B3296" w:rsidP="004B3296">
      <w:pPr>
        <w:pStyle w:val="ListParagraph"/>
        <w:numPr>
          <w:ilvl w:val="0"/>
          <w:numId w:val="3"/>
        </w:numPr>
      </w:pPr>
      <w:r>
        <w:t>Better use of feed and forages</w:t>
      </w:r>
      <w:r w:rsidR="003F61C7">
        <w:t xml:space="preserve"> (feed technologies, uptake and business development</w:t>
      </w:r>
      <w:r w:rsidR="003F61C7" w:rsidRPr="003F61C7">
        <w:t xml:space="preserve"> </w:t>
      </w:r>
      <w:r w:rsidR="003F61C7">
        <w:t>strategies)</w:t>
      </w:r>
      <w:r>
        <w:t>, while also continuing to generate better feeds and forages</w:t>
      </w:r>
    </w:p>
    <w:p w:rsidR="004B3296" w:rsidRDefault="005B6579" w:rsidP="004B3296">
      <w:pPr>
        <w:pStyle w:val="ListParagraph"/>
        <w:numPr>
          <w:ilvl w:val="0"/>
          <w:numId w:val="3"/>
        </w:numPr>
      </w:pPr>
      <w:r>
        <w:t xml:space="preserve">EMPHASIS: </w:t>
      </w:r>
      <w:r w:rsidR="003F61C7">
        <w:t>Technologies and systems analysis to address GHG and land use trade-offs</w:t>
      </w:r>
    </w:p>
    <w:p w:rsidR="003F61C7" w:rsidRDefault="003F61C7" w:rsidP="003F61C7">
      <w:r>
        <w:t xml:space="preserve">Flagship 4: Pro-poor </w:t>
      </w:r>
      <w:proofErr w:type="spellStart"/>
      <w:r>
        <w:t>agri</w:t>
      </w:r>
      <w:proofErr w:type="spellEnd"/>
      <w:r>
        <w:t>-ASF systems</w:t>
      </w:r>
    </w:p>
    <w:p w:rsidR="003F61C7" w:rsidRDefault="005B6579" w:rsidP="003F61C7">
      <w:pPr>
        <w:pStyle w:val="ListParagraph"/>
        <w:numPr>
          <w:ilvl w:val="0"/>
          <w:numId w:val="4"/>
        </w:numPr>
      </w:pPr>
      <w:r>
        <w:t>Other technical and institutional opportunities to improve post-farm efficiency, add value and improve distribution of benefits</w:t>
      </w:r>
    </w:p>
    <w:p w:rsidR="005B6579" w:rsidRDefault="005B6579" w:rsidP="003F61C7">
      <w:pPr>
        <w:pStyle w:val="ListParagraph"/>
        <w:numPr>
          <w:ilvl w:val="0"/>
          <w:numId w:val="4"/>
        </w:numPr>
      </w:pPr>
      <w:r>
        <w:t>Gender and youth</w:t>
      </w:r>
    </w:p>
    <w:p w:rsidR="005B6579" w:rsidRDefault="005B6579" w:rsidP="005B6579">
      <w:pPr>
        <w:pStyle w:val="ListParagraph"/>
        <w:numPr>
          <w:ilvl w:val="0"/>
          <w:numId w:val="4"/>
        </w:numPr>
      </w:pPr>
      <w:r>
        <w:t>Enabling policy environments</w:t>
      </w:r>
    </w:p>
    <w:p w:rsidR="005B6579" w:rsidRDefault="005B6579" w:rsidP="005B6579">
      <w:pPr>
        <w:pStyle w:val="ListParagraph"/>
        <w:numPr>
          <w:ilvl w:val="0"/>
          <w:numId w:val="4"/>
        </w:numPr>
      </w:pPr>
      <w:r>
        <w:t>EMPHASIS: Improving access and use of ASF to enhance nutritional security</w:t>
      </w:r>
    </w:p>
    <w:p w:rsidR="005B6579" w:rsidRDefault="005B6579" w:rsidP="005B6579">
      <w:r>
        <w:t>Delivery platform:</w:t>
      </w:r>
    </w:p>
    <w:p w:rsidR="005B6579" w:rsidRDefault="005B6579" w:rsidP="005B6579">
      <w:r>
        <w:lastRenderedPageBreak/>
        <w:t>Flagship 5: Value c</w:t>
      </w:r>
      <w:r w:rsidR="00475EEC">
        <w:t>hains transformation and scaling</w:t>
      </w:r>
    </w:p>
    <w:p w:rsidR="005B6579" w:rsidRDefault="00475EEC" w:rsidP="005B6579">
      <w:pPr>
        <w:pStyle w:val="ListParagraph"/>
        <w:numPr>
          <w:ilvl w:val="0"/>
          <w:numId w:val="5"/>
        </w:numPr>
      </w:pPr>
      <w:r>
        <w:t>Improving understanding of value chain entry points for improving productivity and efficiency and addressing pro-poor objectives</w:t>
      </w:r>
    </w:p>
    <w:p w:rsidR="00475EEC" w:rsidRDefault="00475EEC" w:rsidP="005B6579">
      <w:pPr>
        <w:pStyle w:val="ListParagraph"/>
        <w:numPr>
          <w:ilvl w:val="0"/>
          <w:numId w:val="5"/>
        </w:numPr>
      </w:pPr>
      <w:r>
        <w:t>Testing innovations to support inclusive business models</w:t>
      </w:r>
    </w:p>
    <w:p w:rsidR="00E278FC" w:rsidRDefault="00E278FC" w:rsidP="00E278FC">
      <w:pPr>
        <w:pStyle w:val="ListParagraph"/>
        <w:numPr>
          <w:ilvl w:val="0"/>
          <w:numId w:val="5"/>
        </w:numPr>
      </w:pPr>
      <w:r>
        <w:t>Strategies for taking to scale</w:t>
      </w:r>
    </w:p>
    <w:p w:rsidR="00D84195" w:rsidRPr="005A3F30" w:rsidRDefault="00D84195" w:rsidP="00D84195">
      <w:pPr>
        <w:pStyle w:val="ListParagraph"/>
        <w:numPr>
          <w:ilvl w:val="0"/>
          <w:numId w:val="5"/>
        </w:numPr>
        <w:tabs>
          <w:tab w:val="left" w:pos="4990"/>
        </w:tabs>
        <w:spacing w:after="120" w:line="240" w:lineRule="auto"/>
        <w:rPr>
          <w:sz w:val="24"/>
          <w:szCs w:val="24"/>
        </w:rPr>
      </w:pPr>
      <w:r>
        <w:rPr>
          <w:sz w:val="24"/>
          <w:szCs w:val="24"/>
        </w:rPr>
        <w:t>Refin</w:t>
      </w:r>
      <w:r>
        <w:rPr>
          <w:sz w:val="24"/>
          <w:szCs w:val="24"/>
        </w:rPr>
        <w:t xml:space="preserve">ing </w:t>
      </w:r>
      <w:r>
        <w:rPr>
          <w:sz w:val="24"/>
          <w:szCs w:val="24"/>
        </w:rPr>
        <w:t>the</w:t>
      </w:r>
      <w:r>
        <w:rPr>
          <w:sz w:val="24"/>
          <w:szCs w:val="24"/>
        </w:rPr>
        <w:t xml:space="preserve"> w</w:t>
      </w:r>
      <w:r w:rsidRPr="008E5877">
        <w:rPr>
          <w:sz w:val="24"/>
          <w:szCs w:val="24"/>
        </w:rPr>
        <w:t xml:space="preserve">hole value chain approach, identifying and upgrading bottlenecks, </w:t>
      </w:r>
      <w:r w:rsidRPr="008E5877">
        <w:rPr>
          <w:color w:val="000000" w:themeColor="text1"/>
          <w:sz w:val="24"/>
          <w:szCs w:val="24"/>
        </w:rPr>
        <w:t>focusing on all nodes in the value chains and market integration</w:t>
      </w:r>
      <w:r>
        <w:rPr>
          <w:color w:val="000000" w:themeColor="text1"/>
          <w:sz w:val="24"/>
          <w:szCs w:val="24"/>
        </w:rPr>
        <w:t xml:space="preserve">; </w:t>
      </w:r>
      <w:r w:rsidRPr="005A3F30">
        <w:rPr>
          <w:color w:val="000000" w:themeColor="text1"/>
          <w:sz w:val="24"/>
          <w:szCs w:val="24"/>
        </w:rPr>
        <w:t>accelerate progress on innovation validation and value chain upgrading</w:t>
      </w:r>
    </w:p>
    <w:p w:rsidR="00D84195" w:rsidRPr="008E5877" w:rsidRDefault="00D84195" w:rsidP="00D84195">
      <w:pPr>
        <w:pStyle w:val="ListParagraph"/>
        <w:numPr>
          <w:ilvl w:val="0"/>
          <w:numId w:val="5"/>
        </w:numPr>
        <w:tabs>
          <w:tab w:val="left" w:pos="4990"/>
        </w:tabs>
        <w:spacing w:after="120" w:line="240" w:lineRule="auto"/>
        <w:rPr>
          <w:sz w:val="24"/>
          <w:szCs w:val="24"/>
        </w:rPr>
      </w:pPr>
      <w:r>
        <w:rPr>
          <w:color w:val="000000" w:themeColor="text1"/>
          <w:sz w:val="24"/>
          <w:szCs w:val="24"/>
        </w:rPr>
        <w:t>Adopting a more demand-driven (consumer-oriented) approach for food and nutrition security</w:t>
      </w:r>
    </w:p>
    <w:p w:rsidR="00D84195" w:rsidRPr="00E963BE" w:rsidRDefault="00D84195" w:rsidP="00D84195">
      <w:pPr>
        <w:pStyle w:val="ListParagraph"/>
        <w:numPr>
          <w:ilvl w:val="0"/>
          <w:numId w:val="5"/>
        </w:numPr>
        <w:tabs>
          <w:tab w:val="left" w:pos="4990"/>
        </w:tabs>
        <w:spacing w:after="120" w:line="240" w:lineRule="auto"/>
        <w:rPr>
          <w:sz w:val="24"/>
          <w:szCs w:val="24"/>
        </w:rPr>
      </w:pPr>
      <w:r w:rsidRPr="00E963BE">
        <w:rPr>
          <w:color w:val="000000" w:themeColor="text1"/>
          <w:sz w:val="24"/>
          <w:szCs w:val="24"/>
        </w:rPr>
        <w:t>Promoting inclusive business models</w:t>
      </w:r>
      <w:r>
        <w:rPr>
          <w:color w:val="000000" w:themeColor="text1"/>
          <w:sz w:val="24"/>
          <w:szCs w:val="24"/>
        </w:rPr>
        <w:t xml:space="preserve"> as basis for i</w:t>
      </w:r>
      <w:r w:rsidRPr="00E963BE">
        <w:rPr>
          <w:color w:val="000000" w:themeColor="text1"/>
          <w:sz w:val="24"/>
          <w:szCs w:val="24"/>
        </w:rPr>
        <w:t>dentifying needs and opportunities to support business strategy and technology development both pre- and post-production</w:t>
      </w:r>
    </w:p>
    <w:p w:rsidR="00D84195" w:rsidRPr="00E963BE" w:rsidRDefault="00D84195" w:rsidP="00D84195">
      <w:pPr>
        <w:pStyle w:val="ListParagraph"/>
        <w:numPr>
          <w:ilvl w:val="0"/>
          <w:numId w:val="5"/>
        </w:numPr>
        <w:tabs>
          <w:tab w:val="left" w:pos="4990"/>
        </w:tabs>
        <w:spacing w:after="120" w:line="240" w:lineRule="auto"/>
        <w:rPr>
          <w:sz w:val="24"/>
          <w:szCs w:val="24"/>
        </w:rPr>
      </w:pPr>
      <w:r w:rsidRPr="00E963BE">
        <w:rPr>
          <w:sz w:val="24"/>
          <w:szCs w:val="24"/>
        </w:rPr>
        <w:t xml:space="preserve">By the poor and/or for the poor, working with both poor and non-poor value chain agents; clearer messaging re. </w:t>
      </w:r>
      <w:r w:rsidRPr="00E963BE">
        <w:rPr>
          <w:color w:val="000000" w:themeColor="text1"/>
          <w:sz w:val="24"/>
          <w:szCs w:val="24"/>
        </w:rPr>
        <w:t xml:space="preserve">flexibility on how outcomes are generated “for the poor” and “by the poor”; working with non-poor value chain actors will also help poor actors; </w:t>
      </w:r>
      <w:r>
        <w:rPr>
          <w:color w:val="000000" w:themeColor="text1"/>
          <w:sz w:val="24"/>
          <w:szCs w:val="24"/>
        </w:rPr>
        <w:t>e</w:t>
      </w:r>
      <w:r w:rsidRPr="00E963BE">
        <w:rPr>
          <w:sz w:val="24"/>
          <w:szCs w:val="24"/>
        </w:rPr>
        <w:t xml:space="preserve">ngaging </w:t>
      </w:r>
      <w:r>
        <w:rPr>
          <w:sz w:val="24"/>
          <w:szCs w:val="24"/>
        </w:rPr>
        <w:t>s</w:t>
      </w:r>
      <w:r w:rsidRPr="00E963BE">
        <w:rPr>
          <w:sz w:val="24"/>
          <w:szCs w:val="24"/>
        </w:rPr>
        <w:t xml:space="preserve">mallholders as well as small and medium-size commercialized/ commercializing enterprises; </w:t>
      </w:r>
      <w:r w:rsidRPr="00E963BE">
        <w:rPr>
          <w:color w:val="000000" w:themeColor="text1"/>
          <w:sz w:val="24"/>
          <w:szCs w:val="24"/>
        </w:rPr>
        <w:t>engag</w:t>
      </w:r>
      <w:r>
        <w:rPr>
          <w:color w:val="000000" w:themeColor="text1"/>
          <w:sz w:val="24"/>
          <w:szCs w:val="24"/>
        </w:rPr>
        <w:t>ing</w:t>
      </w:r>
      <w:r w:rsidRPr="00E963BE">
        <w:rPr>
          <w:color w:val="000000" w:themeColor="text1"/>
          <w:sz w:val="24"/>
          <w:szCs w:val="24"/>
        </w:rPr>
        <w:t xml:space="preserve"> more with the commercial actors in the value chains in order to go to scale and sustain the interventions; investments in upgrading SMEs; engage more with SMEs for upgrading</w:t>
      </w:r>
      <w:r w:rsidRPr="00E963BE">
        <w:rPr>
          <w:sz w:val="24"/>
          <w:szCs w:val="24"/>
        </w:rPr>
        <w:t xml:space="preserve">  </w:t>
      </w:r>
    </w:p>
    <w:p w:rsidR="00D84195" w:rsidRPr="005A3F30" w:rsidRDefault="00D84195" w:rsidP="00D84195">
      <w:pPr>
        <w:pStyle w:val="ListParagraph"/>
        <w:numPr>
          <w:ilvl w:val="0"/>
          <w:numId w:val="5"/>
        </w:numPr>
        <w:tabs>
          <w:tab w:val="left" w:pos="4990"/>
        </w:tabs>
        <w:spacing w:after="120" w:line="240" w:lineRule="auto"/>
        <w:rPr>
          <w:sz w:val="24"/>
          <w:szCs w:val="24"/>
        </w:rPr>
      </w:pPr>
      <w:r w:rsidRPr="005A3F30">
        <w:rPr>
          <w:sz w:val="24"/>
          <w:szCs w:val="24"/>
        </w:rPr>
        <w:t xml:space="preserve">Multi-disciplinary analysis including biological and </w:t>
      </w:r>
      <w:r w:rsidRPr="005A3F30">
        <w:rPr>
          <w:color w:val="000000" w:themeColor="text1"/>
          <w:sz w:val="24"/>
          <w:szCs w:val="24"/>
        </w:rPr>
        <w:t>social science focus on value chain dynamics</w:t>
      </w:r>
      <w:r>
        <w:rPr>
          <w:color w:val="000000" w:themeColor="text1"/>
          <w:sz w:val="24"/>
          <w:szCs w:val="24"/>
        </w:rPr>
        <w:t>; engaging with discovery research flagships/platforms in a two-way learning process</w:t>
      </w:r>
    </w:p>
    <w:p w:rsidR="00D84195" w:rsidRPr="005A3F30" w:rsidRDefault="00D84195" w:rsidP="00D84195">
      <w:pPr>
        <w:pStyle w:val="ListParagraph"/>
        <w:numPr>
          <w:ilvl w:val="0"/>
          <w:numId w:val="5"/>
        </w:numPr>
        <w:tabs>
          <w:tab w:val="left" w:pos="4990"/>
        </w:tabs>
        <w:spacing w:after="120" w:line="240" w:lineRule="auto"/>
        <w:rPr>
          <w:sz w:val="24"/>
          <w:szCs w:val="24"/>
        </w:rPr>
      </w:pPr>
      <w:r>
        <w:rPr>
          <w:color w:val="000000" w:themeColor="text1"/>
          <w:sz w:val="24"/>
          <w:szCs w:val="24"/>
        </w:rPr>
        <w:t xml:space="preserve">Strengthening the CRP role as a knowledge partner and broker </w:t>
      </w:r>
    </w:p>
    <w:p w:rsidR="00D84195" w:rsidRDefault="00D84195" w:rsidP="00D84195">
      <w:pPr>
        <w:pStyle w:val="ListParagraph"/>
        <w:numPr>
          <w:ilvl w:val="0"/>
          <w:numId w:val="5"/>
        </w:numPr>
        <w:tabs>
          <w:tab w:val="left" w:pos="4990"/>
        </w:tabs>
        <w:spacing w:after="120" w:line="240" w:lineRule="auto"/>
        <w:rPr>
          <w:sz w:val="24"/>
          <w:szCs w:val="24"/>
        </w:rPr>
      </w:pPr>
      <w:r>
        <w:rPr>
          <w:sz w:val="24"/>
          <w:szCs w:val="24"/>
        </w:rPr>
        <w:t>Building on previous CGIAR work on innovation systems both to:</w:t>
      </w:r>
    </w:p>
    <w:p w:rsidR="00D84195" w:rsidRDefault="00D84195" w:rsidP="00D84195">
      <w:pPr>
        <w:pStyle w:val="ListParagraph"/>
        <w:numPr>
          <w:ilvl w:val="1"/>
          <w:numId w:val="5"/>
        </w:numPr>
        <w:tabs>
          <w:tab w:val="left" w:pos="4990"/>
        </w:tabs>
        <w:spacing w:after="120" w:line="240" w:lineRule="auto"/>
        <w:rPr>
          <w:sz w:val="24"/>
          <w:szCs w:val="24"/>
        </w:rPr>
      </w:pPr>
      <w:r>
        <w:rPr>
          <w:sz w:val="24"/>
          <w:szCs w:val="24"/>
        </w:rPr>
        <w:t>Explore variants of multi-stakeholder innovation platforms to identify the right issues to be addressed via action research; strengthened public-private partnerships and collaboration; gender responsive innovation</w:t>
      </w:r>
    </w:p>
    <w:p w:rsidR="00D84195" w:rsidRPr="007176DD" w:rsidRDefault="00D84195" w:rsidP="00D84195">
      <w:pPr>
        <w:pStyle w:val="ListParagraph"/>
        <w:numPr>
          <w:ilvl w:val="1"/>
          <w:numId w:val="5"/>
        </w:numPr>
        <w:tabs>
          <w:tab w:val="left" w:pos="4990"/>
        </w:tabs>
        <w:spacing w:after="120" w:line="240" w:lineRule="auto"/>
        <w:rPr>
          <w:sz w:val="24"/>
          <w:szCs w:val="24"/>
        </w:rPr>
      </w:pPr>
      <w:r>
        <w:rPr>
          <w:color w:val="000000" w:themeColor="text1"/>
          <w:sz w:val="24"/>
          <w:szCs w:val="24"/>
        </w:rPr>
        <w:t>Open a dedicated AR4D effort on scaling: how to design e</w:t>
      </w:r>
      <w:r w:rsidRPr="005A3F30">
        <w:rPr>
          <w:color w:val="000000" w:themeColor="text1"/>
          <w:sz w:val="24"/>
          <w:szCs w:val="24"/>
        </w:rPr>
        <w:t xml:space="preserve">ffective dissemination </w:t>
      </w:r>
      <w:r>
        <w:rPr>
          <w:color w:val="000000" w:themeColor="text1"/>
          <w:sz w:val="24"/>
          <w:szCs w:val="24"/>
        </w:rPr>
        <w:t xml:space="preserve">and stakeholder engagement </w:t>
      </w:r>
      <w:r w:rsidRPr="005A3F30">
        <w:rPr>
          <w:color w:val="000000" w:themeColor="text1"/>
          <w:sz w:val="24"/>
          <w:szCs w:val="24"/>
        </w:rPr>
        <w:t>strateg</w:t>
      </w:r>
      <w:r>
        <w:rPr>
          <w:color w:val="000000" w:themeColor="text1"/>
          <w:sz w:val="24"/>
          <w:szCs w:val="24"/>
        </w:rPr>
        <w:t>ies</w:t>
      </w:r>
      <w:r w:rsidRPr="005A3F30">
        <w:rPr>
          <w:color w:val="000000" w:themeColor="text1"/>
          <w:sz w:val="24"/>
          <w:szCs w:val="24"/>
        </w:rPr>
        <w:t xml:space="preserve"> and capacity building </w:t>
      </w:r>
      <w:r>
        <w:rPr>
          <w:color w:val="000000" w:themeColor="text1"/>
          <w:sz w:val="24"/>
          <w:szCs w:val="24"/>
        </w:rPr>
        <w:t>as the</w:t>
      </w:r>
      <w:r w:rsidRPr="005A3F30">
        <w:rPr>
          <w:color w:val="000000" w:themeColor="text1"/>
          <w:sz w:val="24"/>
          <w:szCs w:val="24"/>
        </w:rPr>
        <w:t xml:space="preserve"> basis for scaling</w:t>
      </w:r>
    </w:p>
    <w:p w:rsidR="00D84195" w:rsidRPr="00D84195" w:rsidRDefault="00D84195" w:rsidP="00D84195">
      <w:pPr>
        <w:pStyle w:val="ListParagraph"/>
        <w:numPr>
          <w:ilvl w:val="0"/>
          <w:numId w:val="5"/>
        </w:numPr>
        <w:spacing w:after="120" w:line="240" w:lineRule="auto"/>
        <w:rPr>
          <w:sz w:val="24"/>
          <w:szCs w:val="24"/>
        </w:rPr>
      </w:pPr>
      <w:r w:rsidRPr="007176DD">
        <w:rPr>
          <w:rFonts w:cs="Arial"/>
          <w:color w:val="000000"/>
          <w:kern w:val="24"/>
          <w:sz w:val="24"/>
          <w:szCs w:val="24"/>
          <w:lang w:val="en-MY"/>
        </w:rPr>
        <w:t xml:space="preserve">What types of market, policy, and institutional interventions are required to </w:t>
      </w:r>
      <w:r>
        <w:rPr>
          <w:rFonts w:cs="Arial"/>
          <w:color w:val="000000"/>
          <w:kern w:val="24"/>
          <w:sz w:val="24"/>
          <w:szCs w:val="24"/>
          <w:lang w:val="en-MY"/>
        </w:rPr>
        <w:t xml:space="preserve">support interventions and </w:t>
      </w:r>
      <w:r w:rsidRPr="007176DD">
        <w:rPr>
          <w:rFonts w:cs="Arial"/>
          <w:color w:val="000000"/>
          <w:kern w:val="24"/>
          <w:sz w:val="24"/>
          <w:szCs w:val="24"/>
          <w:lang w:val="en-MY"/>
        </w:rPr>
        <w:t>improve value chain performance while enhancing / maintaining environmental sustainability</w:t>
      </w:r>
    </w:p>
    <w:p w:rsidR="00E278FC" w:rsidRDefault="00E278FC" w:rsidP="00E278FC"/>
    <w:p w:rsidR="00E278FC" w:rsidRPr="004B3296" w:rsidRDefault="00E278FC" w:rsidP="00E278FC">
      <w:pPr>
        <w:rPr>
          <w:b/>
          <w:u w:val="single"/>
        </w:rPr>
      </w:pPr>
      <w:r>
        <w:rPr>
          <w:b/>
          <w:u w:val="single"/>
        </w:rPr>
        <w:t>SCENARIO 2</w:t>
      </w:r>
      <w:r w:rsidRPr="004B3296">
        <w:rPr>
          <w:b/>
          <w:u w:val="single"/>
        </w:rPr>
        <w:t xml:space="preserve">: </w:t>
      </w:r>
      <w:r>
        <w:rPr>
          <w:b/>
          <w:u w:val="single"/>
        </w:rPr>
        <w:t>Consolidated Livestock &amp; Fish Research Agenda</w:t>
      </w:r>
    </w:p>
    <w:p w:rsidR="00E7572D" w:rsidRDefault="00CC4F03" w:rsidP="00E278FC">
      <w:r>
        <w:t xml:space="preserve">This scenario would better rationalize </w:t>
      </w:r>
      <w:r w:rsidR="0010014B">
        <w:t xml:space="preserve">and manage </w:t>
      </w:r>
      <w:r>
        <w:t>the CG capacity</w:t>
      </w:r>
      <w:r w:rsidR="0010014B">
        <w:t xml:space="preserve"> and agenda</w:t>
      </w:r>
      <w:r>
        <w:t xml:space="preserve"> for livestock</w:t>
      </w:r>
      <w:r w:rsidR="0010014B">
        <w:t xml:space="preserve"> and fish technology research by consolidating it in a single CRP. This would address some of the gaps identified by the ISPC White Paper on Livestock Research, while unifying capacity that has been divided and sometimes </w:t>
      </w:r>
      <w:r w:rsidR="00B07528">
        <w:t>fractured, diluted or</w:t>
      </w:r>
      <w:r w:rsidR="0010014B">
        <w:t xml:space="preserve"> disconnected across multiple CRPs.</w:t>
      </w:r>
      <w:r w:rsidR="00B25A15">
        <w:t xml:space="preserve"> The CRP would </w:t>
      </w:r>
      <w:r w:rsidR="004B3B87">
        <w:t>target a shared</w:t>
      </w:r>
      <w:r w:rsidR="00B25A15">
        <w:t xml:space="preserve"> primary contribution to the </w:t>
      </w:r>
      <w:r w:rsidR="004B3B87">
        <w:t>nutrition security</w:t>
      </w:r>
      <w:r w:rsidR="00B25A15">
        <w:t xml:space="preserve"> and </w:t>
      </w:r>
      <w:r w:rsidR="004B3B87">
        <w:t xml:space="preserve">poverty reduction SLOs (consistent with the argument </w:t>
      </w:r>
      <w:r w:rsidR="004B3B87">
        <w:lastRenderedPageBreak/>
        <w:t xml:space="preserve">for sharing the ‘productivity increase’ IDO across both SLOs). </w:t>
      </w:r>
      <w:r w:rsidR="008147E6">
        <w:t xml:space="preserve">The overarching objective would be to focus our science on ensuring the sustainability of animal source foods as a critical component of </w:t>
      </w:r>
      <w:r w:rsidR="00B07528">
        <w:t xml:space="preserve">better diets and nutrition for the poor, </w:t>
      </w:r>
      <w:r w:rsidR="00E7572D">
        <w:t xml:space="preserve">by </w:t>
      </w:r>
      <w:r w:rsidR="001B21E1">
        <w:t xml:space="preserve">using resources more efficiently and sustainably to support the </w:t>
      </w:r>
      <w:r w:rsidR="00E7572D">
        <w:t>role</w:t>
      </w:r>
      <w:r w:rsidR="001B21E1">
        <w:t xml:space="preserve"> </w:t>
      </w:r>
      <w:r w:rsidR="00E7572D">
        <w:t>that animals play</w:t>
      </w:r>
      <w:r w:rsidR="001B21E1">
        <w:t xml:space="preserve"> across the spectrum from extensive to intensive systems in supporting livelihoods and nutritional security.</w:t>
      </w:r>
      <w:r w:rsidR="00E7572D">
        <w:t xml:space="preserve"> Key aspects would include:</w:t>
      </w:r>
    </w:p>
    <w:p w:rsidR="0060721E" w:rsidRDefault="0060721E" w:rsidP="006A05BF">
      <w:pPr>
        <w:pStyle w:val="ListParagraph"/>
        <w:numPr>
          <w:ilvl w:val="0"/>
          <w:numId w:val="7"/>
        </w:numPr>
        <w:ind w:left="714" w:hanging="357"/>
        <w:contextualSpacing w:val="0"/>
      </w:pPr>
      <w:r>
        <w:t>Consolidating CGIAR animal research capacity to optimize synergies and focus</w:t>
      </w:r>
    </w:p>
    <w:p w:rsidR="005455BD" w:rsidRDefault="005455BD" w:rsidP="006A05BF">
      <w:pPr>
        <w:pStyle w:val="ListParagraph"/>
        <w:numPr>
          <w:ilvl w:val="0"/>
          <w:numId w:val="7"/>
        </w:numPr>
        <w:ind w:left="714" w:hanging="357"/>
        <w:contextualSpacing w:val="0"/>
      </w:pPr>
      <w:r>
        <w:t>Highlighting the need to realize the potential of ASF for improving nutritional well-being and as an essential part of diversified, balanced diets going forward</w:t>
      </w:r>
      <w:r w:rsidR="004F6823">
        <w:t>, generating the analysis and evidence as well as the technologies and strategies to achieve this</w:t>
      </w:r>
    </w:p>
    <w:p w:rsidR="005455BD" w:rsidRDefault="009878F5" w:rsidP="006A05BF">
      <w:pPr>
        <w:pStyle w:val="ListParagraph"/>
        <w:numPr>
          <w:ilvl w:val="0"/>
          <w:numId w:val="7"/>
        </w:numPr>
        <w:ind w:left="714" w:hanging="357"/>
        <w:contextualSpacing w:val="0"/>
      </w:pPr>
      <w:r>
        <w:t>Enhancing the main source of ASF currently, which tends to be local (regional) production in smaller-scale production systems and wet markets, to respond to the rapidly increasing demand for ASF, and to do so in way the facilitates a smooth process of increasing specialization for some and transition out of agriculture for many.</w:t>
      </w:r>
    </w:p>
    <w:p w:rsidR="0060721E" w:rsidRDefault="00FD6CEF" w:rsidP="006A05BF">
      <w:pPr>
        <w:pStyle w:val="ListParagraph"/>
        <w:numPr>
          <w:ilvl w:val="0"/>
          <w:numId w:val="7"/>
        </w:numPr>
        <w:ind w:left="714" w:hanging="357"/>
        <w:contextualSpacing w:val="0"/>
      </w:pPr>
      <w:r>
        <w:t xml:space="preserve">Viewing the use of animal agriculture as a continuum from extensive low or no-input/low output systems </w:t>
      </w:r>
      <w:r w:rsidR="00186BCE">
        <w:t>–often occurring in the same geographical area--</w:t>
      </w:r>
      <w:r>
        <w:t xml:space="preserve">where livestock have multiple uses (food, traction power and transport, insurance and financial assets, manure, by-products (skins)) to intensive high-input/high-output systems mostly focused on commercial </w:t>
      </w:r>
      <w:r w:rsidR="005455BD">
        <w:t>food production. Across all of these systems, the challenge is to increase efficiency and sustainability, whether in using fragile natural resources in extensive systems or in using purchased inputs and minimizing negative externalities in intensive systems.</w:t>
      </w:r>
      <w:r w:rsidR="00186BCE">
        <w:t xml:space="preserve"> So there is a mix of common and specific constraints across this continuum that would benefit from a consolidated animal research capacity.</w:t>
      </w:r>
    </w:p>
    <w:p w:rsidR="005455BD" w:rsidRDefault="004F6823" w:rsidP="006A05BF">
      <w:pPr>
        <w:pStyle w:val="ListParagraph"/>
        <w:numPr>
          <w:ilvl w:val="0"/>
          <w:numId w:val="7"/>
        </w:numPr>
        <w:ind w:left="714" w:hanging="357"/>
        <w:contextualSpacing w:val="0"/>
      </w:pPr>
      <w:r>
        <w:t xml:space="preserve">At the same time, </w:t>
      </w:r>
      <w:r w:rsidR="00186BCE">
        <w:t>we understand that our target production and marketing systems and consumer groups are dynamic and evolving, and an explicit objective is to anticipate and facilitate transitions that converge to social and environmental opti</w:t>
      </w:r>
      <w:r w:rsidR="00CE13EB">
        <w:t>mums, in terms of diets, in terms of sustainable use of resources, in terms of social transformation associated with structural transformation and people gradually moving out of agriculture.</w:t>
      </w:r>
    </w:p>
    <w:p w:rsidR="006A05BF" w:rsidRDefault="006A05BF" w:rsidP="006A05BF">
      <w:pPr>
        <w:pStyle w:val="ListParagraph"/>
        <w:numPr>
          <w:ilvl w:val="0"/>
          <w:numId w:val="7"/>
        </w:numPr>
        <w:ind w:left="714" w:hanging="357"/>
        <w:contextualSpacing w:val="0"/>
      </w:pPr>
      <w:r>
        <w:t>Achieving an appropriate balance of longer-term and shorter-term research with clear objectives, outputs and outcomes within both the CRP funding cycle and its longer-term horizon</w:t>
      </w:r>
    </w:p>
    <w:p w:rsidR="00CE13EB" w:rsidRDefault="00CE13EB" w:rsidP="006A05BF">
      <w:pPr>
        <w:pStyle w:val="ListParagraph"/>
        <w:numPr>
          <w:ilvl w:val="0"/>
          <w:numId w:val="7"/>
        </w:numPr>
        <w:ind w:left="714" w:hanging="357"/>
        <w:contextualSpacing w:val="0"/>
      </w:pPr>
      <w:r>
        <w:t>Continued emphasis given to working in more effective partnership with local A4RD partners having shared objectives</w:t>
      </w:r>
      <w:r w:rsidR="006C620D">
        <w:t xml:space="preserve">, and developing a joint agenda with a few strategic global partners </w:t>
      </w:r>
    </w:p>
    <w:p w:rsidR="006C620D" w:rsidRDefault="006C620D" w:rsidP="006A05BF">
      <w:pPr>
        <w:pStyle w:val="ListParagraph"/>
        <w:numPr>
          <w:ilvl w:val="0"/>
          <w:numId w:val="7"/>
        </w:numPr>
        <w:ind w:left="714" w:hanging="357"/>
        <w:contextualSpacing w:val="0"/>
      </w:pPr>
      <w:r>
        <w:t>Continued emphasis on nurturing a more effective partnership between research and development actors</w:t>
      </w:r>
      <w:r w:rsidR="00E963BE">
        <w:t xml:space="preserve"> (which include private sector!)</w:t>
      </w:r>
      <w:r>
        <w:t>, including creating an innovative interface that experiments with how the two can be linked to the benefit of both</w:t>
      </w:r>
    </w:p>
    <w:p w:rsidR="006A05BF" w:rsidRDefault="006A05BF" w:rsidP="006A05BF">
      <w:pPr>
        <w:pStyle w:val="ListParagraph"/>
        <w:numPr>
          <w:ilvl w:val="0"/>
          <w:numId w:val="7"/>
        </w:numPr>
        <w:ind w:left="714" w:hanging="357"/>
        <w:contextualSpacing w:val="0"/>
      </w:pPr>
      <w:r>
        <w:t>Renewed effort to design processes to align CRP priorities and activities with those of regional and national authorities</w:t>
      </w:r>
    </w:p>
    <w:p w:rsidR="006A05BF" w:rsidRDefault="004A10AC" w:rsidP="006A05BF">
      <w:pPr>
        <w:pStyle w:val="ListParagraph"/>
        <w:numPr>
          <w:ilvl w:val="0"/>
          <w:numId w:val="7"/>
        </w:numPr>
        <w:ind w:left="714" w:hanging="357"/>
        <w:contextualSpacing w:val="0"/>
      </w:pPr>
      <w:r>
        <w:lastRenderedPageBreak/>
        <w:t xml:space="preserve">To continue enhancing the relevance and impact-orientation of the CRP research agenda, a focus is maintained on selected sites where research is conducted to understand constraints, identify opportunities, test solutions and learn about scaling, and where research and development outcomes of the program can be measured and evaluated. The CRP will work in two types of sites that encompass the continuum of contexts described above: (1) where livestock have multiple uses and so the CRP will integrate into </w:t>
      </w:r>
      <w:r w:rsidR="0077563F">
        <w:t>selected</w:t>
      </w:r>
      <w:r>
        <w:t xml:space="preserve"> Systems CRPs’ sites</w:t>
      </w:r>
      <w:r w:rsidR="0077563F">
        <w:t xml:space="preserve"> to provide the animal agriculture dimension; and (2) where intensification is the focus in the selected ASF value chains.</w:t>
      </w:r>
    </w:p>
    <w:p w:rsidR="006A05BF" w:rsidRDefault="006A05BF" w:rsidP="006A05BF">
      <w:r>
        <w:t xml:space="preserve">The CRP remains </w:t>
      </w:r>
      <w:r w:rsidR="00442A2E">
        <w:t>structured as discovery and delivery Flagship Projects:</w:t>
      </w:r>
      <w:r w:rsidR="004A10AC">
        <w:t xml:space="preserve"> </w:t>
      </w:r>
    </w:p>
    <w:p w:rsidR="000C730E" w:rsidRDefault="0077563F" w:rsidP="000C730E">
      <w:pPr>
        <w:pStyle w:val="ListParagraph"/>
        <w:numPr>
          <w:ilvl w:val="0"/>
          <w:numId w:val="6"/>
        </w:numPr>
        <w:spacing w:after="0"/>
        <w:ind w:left="714" w:hanging="357"/>
        <w:contextualSpacing w:val="0"/>
      </w:pPr>
      <w:r w:rsidRPr="0077563F">
        <w:rPr>
          <w:b/>
        </w:rPr>
        <w:t>ASF Production Systems</w:t>
      </w:r>
      <w:r>
        <w:t>: Three t</w:t>
      </w:r>
      <w:r w:rsidR="00E7572D">
        <w:t xml:space="preserve">echnology platforms focused on the primary productivity drivers: </w:t>
      </w:r>
    </w:p>
    <w:p w:rsidR="000C730E" w:rsidRDefault="000C730E" w:rsidP="000C730E">
      <w:pPr>
        <w:pStyle w:val="ListParagraph"/>
        <w:numPr>
          <w:ilvl w:val="1"/>
          <w:numId w:val="6"/>
        </w:numPr>
        <w:spacing w:after="0"/>
        <w:contextualSpacing w:val="0"/>
      </w:pPr>
      <w:proofErr w:type="gramStart"/>
      <w:r>
        <w:t>animal</w:t>
      </w:r>
      <w:proofErr w:type="gramEnd"/>
      <w:r>
        <w:t xml:space="preserve"> health</w:t>
      </w:r>
      <w:r w:rsidR="00622678">
        <w:t xml:space="preserve"> (including public health?)</w:t>
      </w:r>
    </w:p>
    <w:p w:rsidR="000C730E" w:rsidRDefault="00E7572D" w:rsidP="000C730E">
      <w:pPr>
        <w:pStyle w:val="ListParagraph"/>
        <w:numPr>
          <w:ilvl w:val="1"/>
          <w:numId w:val="6"/>
        </w:numPr>
        <w:spacing w:after="0"/>
        <w:contextualSpacing w:val="0"/>
      </w:pPr>
      <w:r>
        <w:t xml:space="preserve">animal genetics </w:t>
      </w:r>
    </w:p>
    <w:p w:rsidR="00BD275A" w:rsidRPr="004E076F" w:rsidRDefault="00BD275A" w:rsidP="00BD275A">
      <w:pPr>
        <w:pStyle w:val="ListParagraph"/>
        <w:numPr>
          <w:ilvl w:val="2"/>
          <w:numId w:val="6"/>
        </w:numPr>
        <w:rPr>
          <w:b/>
        </w:rPr>
      </w:pPr>
      <w:r>
        <w:t>Genetics approaches adapted to feedings systems in smallholder environments (e.g., drought, resilience)</w:t>
      </w:r>
    </w:p>
    <w:p w:rsidR="00BD275A" w:rsidRPr="004E076F" w:rsidRDefault="00BD275A" w:rsidP="00BD275A">
      <w:pPr>
        <w:pStyle w:val="ListParagraph"/>
        <w:numPr>
          <w:ilvl w:val="2"/>
          <w:numId w:val="6"/>
        </w:numPr>
        <w:rPr>
          <w:b/>
        </w:rPr>
      </w:pPr>
      <w:r>
        <w:t>Include agenda on poultry genetics</w:t>
      </w:r>
    </w:p>
    <w:p w:rsidR="00BD275A" w:rsidRPr="004E076F" w:rsidRDefault="00BD275A" w:rsidP="00BD275A">
      <w:pPr>
        <w:pStyle w:val="ListParagraph"/>
        <w:numPr>
          <w:ilvl w:val="2"/>
          <w:numId w:val="6"/>
        </w:numPr>
        <w:rPr>
          <w:b/>
        </w:rPr>
      </w:pPr>
      <w:r>
        <w:t>Work on fish strains with emphasis of efficiency and resilience (including adaptation to climate change) of selected fish strains</w:t>
      </w:r>
    </w:p>
    <w:p w:rsidR="00BD275A" w:rsidRPr="004E076F" w:rsidRDefault="00BD275A" w:rsidP="00BD275A">
      <w:pPr>
        <w:pStyle w:val="ListParagraph"/>
        <w:numPr>
          <w:ilvl w:val="2"/>
          <w:numId w:val="6"/>
        </w:numPr>
        <w:rPr>
          <w:b/>
        </w:rPr>
      </w:pPr>
      <w:r>
        <w:t>Cold tolerance in fish</w:t>
      </w:r>
    </w:p>
    <w:p w:rsidR="00BD275A" w:rsidRPr="00BD275A" w:rsidRDefault="00BD275A" w:rsidP="00BD275A">
      <w:pPr>
        <w:pStyle w:val="ListParagraph"/>
        <w:numPr>
          <w:ilvl w:val="2"/>
          <w:numId w:val="6"/>
        </w:numPr>
        <w:rPr>
          <w:b/>
        </w:rPr>
      </w:pPr>
      <w:r>
        <w:t>Genetic basis for micronutrients in small fish</w:t>
      </w:r>
    </w:p>
    <w:p w:rsidR="00E7572D" w:rsidRDefault="00E7572D" w:rsidP="000C730E">
      <w:pPr>
        <w:pStyle w:val="ListParagraph"/>
        <w:numPr>
          <w:ilvl w:val="1"/>
          <w:numId w:val="6"/>
        </w:numPr>
        <w:contextualSpacing w:val="0"/>
      </w:pPr>
      <w:r>
        <w:t>animal nutrition (which includes feed and forage research)</w:t>
      </w:r>
    </w:p>
    <w:p w:rsidR="00BD275A" w:rsidRDefault="00BD275A" w:rsidP="00BD275A">
      <w:pPr>
        <w:pStyle w:val="ListParagraph"/>
        <w:numPr>
          <w:ilvl w:val="2"/>
          <w:numId w:val="6"/>
        </w:numPr>
      </w:pPr>
      <w:r>
        <w:t xml:space="preserve">Feed platform including the application of novel technologies at different scales e.g. application of </w:t>
      </w:r>
      <w:proofErr w:type="spellStart"/>
      <w:r>
        <w:t>TechFit</w:t>
      </w:r>
      <w:proofErr w:type="spellEnd"/>
      <w:r>
        <w:t xml:space="preserve"> for impleme</w:t>
      </w:r>
      <w:r>
        <w:t>nt</w:t>
      </w:r>
      <w:r>
        <w:t>ing adapted feed technologies at smallholder level, utilization of mobile NIRS for feed selection/ranking ….</w:t>
      </w:r>
    </w:p>
    <w:p w:rsidR="00BD275A" w:rsidRDefault="00BD275A" w:rsidP="00BD275A">
      <w:pPr>
        <w:pStyle w:val="ListParagraph"/>
        <w:numPr>
          <w:ilvl w:val="2"/>
          <w:numId w:val="6"/>
        </w:numPr>
      </w:pPr>
      <w:r>
        <w:t>Utilization of 2</w:t>
      </w:r>
      <w:r w:rsidRPr="009E146B">
        <w:rPr>
          <w:vertAlign w:val="superscript"/>
        </w:rPr>
        <w:t>nd</w:t>
      </w:r>
      <w:r>
        <w:t xml:space="preserve"> generation biofuel technologies to enhance nutritive quality of (poor quality) feeds    </w:t>
      </w:r>
    </w:p>
    <w:p w:rsidR="00BD275A" w:rsidRDefault="00BD275A" w:rsidP="00BD275A">
      <w:pPr>
        <w:pStyle w:val="ListParagraph"/>
        <w:numPr>
          <w:ilvl w:val="2"/>
          <w:numId w:val="6"/>
        </w:numPr>
      </w:pPr>
      <w:r>
        <w:t>Addressing feed parameters for a) GHG mitigation (e.g. feed quality, genetic characteristics such as Biological Nitrification Inhibition, carbon accumulation capacity) and b) adaptation to climate change (vulnerability for drought and waterlogging)</w:t>
      </w:r>
    </w:p>
    <w:p w:rsidR="00BD275A" w:rsidRDefault="00BD275A" w:rsidP="00BD275A">
      <w:pPr>
        <w:pStyle w:val="ListParagraph"/>
        <w:numPr>
          <w:ilvl w:val="2"/>
          <w:numId w:val="6"/>
        </w:numPr>
      </w:pPr>
      <w:r>
        <w:t>Development of fodder and double purpose feeds (e.g. feed quality of crop residues)</w:t>
      </w:r>
    </w:p>
    <w:p w:rsidR="00BD275A" w:rsidRDefault="00BD275A" w:rsidP="00BD275A">
      <w:pPr>
        <w:pStyle w:val="ListParagraph"/>
        <w:numPr>
          <w:ilvl w:val="2"/>
          <w:numId w:val="6"/>
        </w:numPr>
      </w:pPr>
      <w:r>
        <w:t xml:space="preserve">Continued and amplified development of forage </w:t>
      </w:r>
      <w:proofErr w:type="spellStart"/>
      <w:r>
        <w:t>germplasm</w:t>
      </w:r>
      <w:proofErr w:type="spellEnd"/>
      <w:r>
        <w:t xml:space="preserve"> including biotic and non-biotic stresses (e.g. drought, excess water, low soils fertility; salt tolerance?)with an emphasis of amplified forage grass breeding including application of novel genetic tools</w:t>
      </w:r>
    </w:p>
    <w:p w:rsidR="00BD275A" w:rsidRDefault="00BD275A" w:rsidP="00BD275A">
      <w:pPr>
        <w:pStyle w:val="ListParagraph"/>
        <w:numPr>
          <w:ilvl w:val="2"/>
          <w:numId w:val="6"/>
        </w:numPr>
      </w:pPr>
      <w:r>
        <w:t>Attention to relation of feeding with human nutrition with focus on replacing current feeds with feeds of greater resource use efficiency (e.g. insects, cassava wastes)</w:t>
      </w:r>
    </w:p>
    <w:p w:rsidR="00BD275A" w:rsidRDefault="00BD275A" w:rsidP="00BD275A">
      <w:pPr>
        <w:pStyle w:val="ListParagraph"/>
        <w:numPr>
          <w:ilvl w:val="2"/>
          <w:numId w:val="6"/>
        </w:numPr>
      </w:pPr>
      <w:r>
        <w:t xml:space="preserve">Processing of feeds </w:t>
      </w:r>
    </w:p>
    <w:p w:rsidR="00BD275A" w:rsidRDefault="00BD275A" w:rsidP="00BD275A">
      <w:pPr>
        <w:pStyle w:val="ListParagraph"/>
        <w:ind w:left="2160"/>
      </w:pPr>
    </w:p>
    <w:p w:rsidR="00E7572D" w:rsidRDefault="0077563F" w:rsidP="006A05BF">
      <w:pPr>
        <w:pStyle w:val="ListParagraph"/>
        <w:numPr>
          <w:ilvl w:val="0"/>
          <w:numId w:val="6"/>
        </w:numPr>
        <w:ind w:left="714" w:hanging="357"/>
        <w:contextualSpacing w:val="0"/>
      </w:pPr>
      <w:r w:rsidRPr="0077563F">
        <w:rPr>
          <w:b/>
        </w:rPr>
        <w:t xml:space="preserve">ASF </w:t>
      </w:r>
      <w:proofErr w:type="spellStart"/>
      <w:r w:rsidRPr="0077563F">
        <w:rPr>
          <w:b/>
        </w:rPr>
        <w:t>Agri</w:t>
      </w:r>
      <w:proofErr w:type="spellEnd"/>
      <w:r w:rsidRPr="0077563F">
        <w:rPr>
          <w:b/>
        </w:rPr>
        <w:t>-f</w:t>
      </w:r>
      <w:r w:rsidR="00BD275A">
        <w:rPr>
          <w:b/>
        </w:rPr>
        <w:t xml:space="preserve">ood Systems Sustainability: </w:t>
      </w:r>
      <w:r>
        <w:t xml:space="preserve"> </w:t>
      </w:r>
      <w:r w:rsidR="00E7572D">
        <w:t xml:space="preserve">A </w:t>
      </w:r>
      <w:r w:rsidR="00420A1D">
        <w:t xml:space="preserve">more social sciences-based </w:t>
      </w:r>
      <w:r w:rsidR="00E7572D">
        <w:t>research platform</w:t>
      </w:r>
      <w:r>
        <w:t>—but with components of food technology, human nutrition, public health--</w:t>
      </w:r>
      <w:r w:rsidR="00E7572D">
        <w:t xml:space="preserve">that </w:t>
      </w:r>
      <w:r w:rsidR="00420A1D">
        <w:t xml:space="preserve">tackles other technical and institutional aspects of </w:t>
      </w:r>
      <w:r w:rsidR="00F25D3E">
        <w:t xml:space="preserve">enhancing the contribution of animal agriculture in extensive systems and </w:t>
      </w:r>
      <w:r w:rsidR="00420A1D">
        <w:t xml:space="preserve">developing pro-poor ASF value chains, including systems and economic analysis for impact assessment and targeting, </w:t>
      </w:r>
      <w:r w:rsidR="0000150A">
        <w:t xml:space="preserve">environmental analysis, </w:t>
      </w:r>
      <w:r w:rsidR="00420A1D">
        <w:t>gender, value chain economics and business models</w:t>
      </w:r>
      <w:r w:rsidR="0000150A">
        <w:t xml:space="preserve">, off-farm value addition, innovation systems and policy analysis, and </w:t>
      </w:r>
      <w:r>
        <w:t xml:space="preserve">public health and </w:t>
      </w:r>
      <w:r w:rsidR="0000150A">
        <w:t>human nutrition</w:t>
      </w:r>
      <w:r w:rsidR="00F25D3E">
        <w:t>. This flagship works toward an integrated approach</w:t>
      </w:r>
      <w:r w:rsidR="00BD275A">
        <w:t>—adopting a systems approach--</w:t>
      </w:r>
      <w:r w:rsidR="00F25D3E">
        <w:t xml:space="preserve"> to pro-poor</w:t>
      </w:r>
      <w:r w:rsidR="00622678">
        <w:t xml:space="preserve"> transformation of value chains, while strengthening disciplinary capacity. It focuses its work in the CRP sites to improve the likelihood of impact, but at the same time capturing lessons across sites and globally as global public goods</w:t>
      </w:r>
      <w:r w:rsidR="00C36D68">
        <w:t xml:space="preserve"> that</w:t>
      </w:r>
      <w:r w:rsidR="00C36D68" w:rsidRPr="00C36D68">
        <w:t xml:space="preserve"> provide evidence of benefits and trade-offs from productivity enhancing technologies and </w:t>
      </w:r>
      <w:r w:rsidR="00C36D68">
        <w:t xml:space="preserve">systems transformation </w:t>
      </w:r>
      <w:r w:rsidR="00C36D68" w:rsidRPr="00C36D68">
        <w:t>at local (target site) and global level</w:t>
      </w:r>
      <w:r w:rsidR="00C36D68">
        <w:t>.</w:t>
      </w:r>
    </w:p>
    <w:p w:rsidR="00C36D68" w:rsidRPr="00F544A2" w:rsidRDefault="00C36D68" w:rsidP="00C36D68">
      <w:pPr>
        <w:pStyle w:val="ListParagraph"/>
        <w:numPr>
          <w:ilvl w:val="0"/>
          <w:numId w:val="10"/>
        </w:numPr>
        <w:rPr>
          <w:sz w:val="24"/>
        </w:rPr>
      </w:pPr>
      <w:r>
        <w:rPr>
          <w:sz w:val="24"/>
        </w:rPr>
        <w:t>M</w:t>
      </w:r>
      <w:r w:rsidRPr="00F544A2">
        <w:rPr>
          <w:sz w:val="24"/>
        </w:rPr>
        <w:t>ethodologies for targeting for ASF production</w:t>
      </w:r>
      <w:r>
        <w:rPr>
          <w:sz w:val="24"/>
        </w:rPr>
        <w:t xml:space="preserve"> and food system</w:t>
      </w:r>
      <w:r w:rsidRPr="00F544A2">
        <w:rPr>
          <w:sz w:val="24"/>
        </w:rPr>
        <w:t xml:space="preserve"> technologies </w:t>
      </w:r>
      <w:r>
        <w:rPr>
          <w:sz w:val="24"/>
        </w:rPr>
        <w:t>(matching breeds, technologies and transformative processes with the production environment (</w:t>
      </w:r>
      <w:r>
        <w:rPr>
          <w:sz w:val="24"/>
        </w:rPr>
        <w:t>at low level of resolution</w:t>
      </w:r>
      <w:r>
        <w:rPr>
          <w:sz w:val="24"/>
        </w:rPr>
        <w:t>)</w:t>
      </w:r>
      <w:r>
        <w:rPr>
          <w:sz w:val="24"/>
        </w:rPr>
        <w:t xml:space="preserve">; </w:t>
      </w:r>
      <w:r>
        <w:rPr>
          <w:sz w:val="24"/>
        </w:rPr>
        <w:t>prioritization, what to do where to get largest impact incl. supply channels (rural-rural, rural-urban, etc.)</w:t>
      </w:r>
    </w:p>
    <w:p w:rsidR="00C36D68" w:rsidRPr="00F544A2" w:rsidRDefault="00C36D68" w:rsidP="00C36D68">
      <w:pPr>
        <w:pStyle w:val="ListParagraph"/>
        <w:numPr>
          <w:ilvl w:val="0"/>
          <w:numId w:val="10"/>
        </w:numPr>
        <w:rPr>
          <w:sz w:val="24"/>
        </w:rPr>
      </w:pPr>
      <w:r w:rsidRPr="00F544A2">
        <w:rPr>
          <w:sz w:val="24"/>
        </w:rPr>
        <w:t>Methodologies to assess sustainabi</w:t>
      </w:r>
      <w:r>
        <w:rPr>
          <w:sz w:val="24"/>
        </w:rPr>
        <w:t>lity of technologies and viability of food systems</w:t>
      </w:r>
    </w:p>
    <w:p w:rsidR="00C36D68" w:rsidRPr="00F544A2" w:rsidRDefault="00C36D68" w:rsidP="00C36D68">
      <w:pPr>
        <w:pStyle w:val="ListParagraph"/>
        <w:numPr>
          <w:ilvl w:val="0"/>
          <w:numId w:val="12"/>
        </w:numPr>
        <w:rPr>
          <w:sz w:val="24"/>
        </w:rPr>
      </w:pPr>
      <w:r>
        <w:rPr>
          <w:sz w:val="24"/>
        </w:rPr>
        <w:t xml:space="preserve">Assessment of nutritional (food) security </w:t>
      </w:r>
      <w:r>
        <w:rPr>
          <w:sz w:val="24"/>
        </w:rPr>
        <w:t>contributed by</w:t>
      </w:r>
      <w:r>
        <w:rPr>
          <w:sz w:val="24"/>
        </w:rPr>
        <w:t xml:space="preserve"> </w:t>
      </w:r>
      <w:r>
        <w:rPr>
          <w:sz w:val="24"/>
        </w:rPr>
        <w:t>A</w:t>
      </w:r>
      <w:r>
        <w:rPr>
          <w:sz w:val="24"/>
        </w:rPr>
        <w:t xml:space="preserve">SF </w:t>
      </w:r>
      <w:r>
        <w:rPr>
          <w:sz w:val="24"/>
        </w:rPr>
        <w:t>systems</w:t>
      </w:r>
      <w:r>
        <w:rPr>
          <w:sz w:val="24"/>
        </w:rPr>
        <w:t xml:space="preserve"> at h</w:t>
      </w:r>
      <w:r>
        <w:rPr>
          <w:sz w:val="24"/>
        </w:rPr>
        <w:t>ouse</w:t>
      </w:r>
      <w:r>
        <w:rPr>
          <w:sz w:val="24"/>
        </w:rPr>
        <w:t>h</w:t>
      </w:r>
      <w:r>
        <w:rPr>
          <w:sz w:val="24"/>
        </w:rPr>
        <w:t>old</w:t>
      </w:r>
      <w:r>
        <w:rPr>
          <w:sz w:val="24"/>
        </w:rPr>
        <w:t xml:space="preserve"> (rural and urban consumers) and national level</w:t>
      </w:r>
    </w:p>
    <w:p w:rsidR="00C36D68" w:rsidRDefault="00C36D68" w:rsidP="00C36D68">
      <w:pPr>
        <w:pStyle w:val="ListParagraph"/>
        <w:numPr>
          <w:ilvl w:val="0"/>
          <w:numId w:val="12"/>
        </w:numPr>
        <w:rPr>
          <w:sz w:val="24"/>
        </w:rPr>
      </w:pPr>
      <w:r>
        <w:rPr>
          <w:sz w:val="24"/>
        </w:rPr>
        <w:t>Economic assessment</w:t>
      </w:r>
    </w:p>
    <w:p w:rsidR="00C36D68" w:rsidRPr="00F544A2" w:rsidRDefault="00C36D68" w:rsidP="00C36D68">
      <w:pPr>
        <w:pStyle w:val="ListParagraph"/>
        <w:numPr>
          <w:ilvl w:val="0"/>
          <w:numId w:val="12"/>
        </w:numPr>
        <w:rPr>
          <w:sz w:val="24"/>
        </w:rPr>
      </w:pPr>
      <w:r w:rsidRPr="00F544A2">
        <w:rPr>
          <w:sz w:val="24"/>
        </w:rPr>
        <w:t xml:space="preserve">Environmental assessment </w:t>
      </w:r>
      <w:r>
        <w:rPr>
          <w:sz w:val="24"/>
        </w:rPr>
        <w:t>(climate, potential for adaptation and mitigation, LCA)</w:t>
      </w:r>
    </w:p>
    <w:p w:rsidR="00C36D68" w:rsidRDefault="00C36D68" w:rsidP="00C36D68">
      <w:pPr>
        <w:pStyle w:val="ListParagraph"/>
        <w:numPr>
          <w:ilvl w:val="0"/>
          <w:numId w:val="12"/>
        </w:numPr>
        <w:rPr>
          <w:sz w:val="24"/>
        </w:rPr>
      </w:pPr>
      <w:r w:rsidRPr="00F544A2">
        <w:rPr>
          <w:sz w:val="24"/>
        </w:rPr>
        <w:t>Equity assessment (social s</w:t>
      </w:r>
      <w:r>
        <w:rPr>
          <w:sz w:val="24"/>
        </w:rPr>
        <w:t>tructures, gender transformative approaches, employment opportunities, )</w:t>
      </w:r>
      <w:r w:rsidRPr="00F544A2">
        <w:rPr>
          <w:sz w:val="24"/>
        </w:rPr>
        <w:t xml:space="preserve"> </w:t>
      </w:r>
    </w:p>
    <w:p w:rsidR="00C36D68" w:rsidRDefault="00C36D68" w:rsidP="00C36D68">
      <w:pPr>
        <w:pStyle w:val="ListParagraph"/>
        <w:numPr>
          <w:ilvl w:val="0"/>
          <w:numId w:val="12"/>
        </w:numPr>
        <w:rPr>
          <w:sz w:val="24"/>
        </w:rPr>
      </w:pPr>
      <w:r>
        <w:rPr>
          <w:sz w:val="24"/>
        </w:rPr>
        <w:t>Modeling of t</w:t>
      </w:r>
      <w:r w:rsidRPr="00F544A2">
        <w:rPr>
          <w:sz w:val="24"/>
        </w:rPr>
        <w:t>rade</w:t>
      </w:r>
      <w:r>
        <w:rPr>
          <w:sz w:val="24"/>
        </w:rPr>
        <w:t>-</w:t>
      </w:r>
      <w:r w:rsidRPr="00F544A2">
        <w:rPr>
          <w:sz w:val="24"/>
        </w:rPr>
        <w:t xml:space="preserve">offs </w:t>
      </w:r>
      <w:r>
        <w:rPr>
          <w:sz w:val="24"/>
        </w:rPr>
        <w:t>in animal production systems</w:t>
      </w:r>
      <w:r w:rsidRPr="00F544A2">
        <w:rPr>
          <w:sz w:val="24"/>
        </w:rPr>
        <w:t xml:space="preserve"> </w:t>
      </w:r>
      <w:r>
        <w:rPr>
          <w:sz w:val="24"/>
        </w:rPr>
        <w:t>(ecological, economic and social sustainability)</w:t>
      </w:r>
    </w:p>
    <w:p w:rsidR="00C36D68" w:rsidRPr="00C36D68" w:rsidRDefault="00C36D68" w:rsidP="00C36D68">
      <w:pPr>
        <w:pStyle w:val="ListParagraph"/>
        <w:numPr>
          <w:ilvl w:val="0"/>
          <w:numId w:val="10"/>
        </w:numPr>
        <w:rPr>
          <w:sz w:val="24"/>
        </w:rPr>
      </w:pPr>
      <w:r w:rsidRPr="00C36D68">
        <w:rPr>
          <w:sz w:val="24"/>
        </w:rPr>
        <w:t>Foresight</w:t>
      </w:r>
      <w:r w:rsidR="00E33FD6">
        <w:rPr>
          <w:sz w:val="24"/>
        </w:rPr>
        <w:t xml:space="preserve"> and policy modeling, impact assessment</w:t>
      </w:r>
    </w:p>
    <w:p w:rsidR="00C36D68" w:rsidRDefault="00C36D68" w:rsidP="00C36D68">
      <w:pPr>
        <w:pStyle w:val="ListParagraph"/>
        <w:numPr>
          <w:ilvl w:val="0"/>
          <w:numId w:val="12"/>
        </w:numPr>
        <w:rPr>
          <w:sz w:val="24"/>
        </w:rPr>
      </w:pPr>
      <w:r w:rsidRPr="00F544A2">
        <w:rPr>
          <w:sz w:val="24"/>
        </w:rPr>
        <w:t xml:space="preserve">to assess impact of </w:t>
      </w:r>
      <w:r>
        <w:rPr>
          <w:sz w:val="24"/>
        </w:rPr>
        <w:t xml:space="preserve">changes in trade, economic, ecological and policy  drivers (e.g. </w:t>
      </w:r>
      <w:r w:rsidRPr="00F544A2">
        <w:rPr>
          <w:sz w:val="24"/>
        </w:rPr>
        <w:t>climate change</w:t>
      </w:r>
      <w:r>
        <w:rPr>
          <w:sz w:val="24"/>
        </w:rPr>
        <w:t xml:space="preserve">) at global and national level </w:t>
      </w:r>
      <w:r w:rsidRPr="00F544A2">
        <w:rPr>
          <w:sz w:val="24"/>
        </w:rPr>
        <w:t xml:space="preserve">on future sustainability </w:t>
      </w:r>
      <w:r>
        <w:rPr>
          <w:sz w:val="24"/>
        </w:rPr>
        <w:t xml:space="preserve">(resilience) </w:t>
      </w:r>
      <w:r w:rsidRPr="00F544A2">
        <w:rPr>
          <w:sz w:val="24"/>
        </w:rPr>
        <w:t xml:space="preserve">of ASF </w:t>
      </w:r>
      <w:r>
        <w:rPr>
          <w:sz w:val="24"/>
        </w:rPr>
        <w:t xml:space="preserve">systems and possible uptake of productivity enhancing technologies </w:t>
      </w:r>
    </w:p>
    <w:p w:rsidR="00C36D68" w:rsidRPr="00F544A2" w:rsidRDefault="00C36D68" w:rsidP="00C36D68">
      <w:pPr>
        <w:pStyle w:val="ListParagraph"/>
        <w:numPr>
          <w:ilvl w:val="0"/>
          <w:numId w:val="12"/>
        </w:numPr>
        <w:rPr>
          <w:sz w:val="24"/>
        </w:rPr>
      </w:pPr>
      <w:r>
        <w:rPr>
          <w:sz w:val="24"/>
        </w:rPr>
        <w:t>ex-ante modeling to predict benefits and trade-offs for best-bet interventions</w:t>
      </w:r>
    </w:p>
    <w:p w:rsidR="00C36D68" w:rsidRDefault="00C36D68" w:rsidP="00C36D68">
      <w:pPr>
        <w:pStyle w:val="ListParagraph"/>
        <w:numPr>
          <w:ilvl w:val="0"/>
          <w:numId w:val="10"/>
        </w:numPr>
        <w:rPr>
          <w:sz w:val="24"/>
        </w:rPr>
      </w:pPr>
      <w:r w:rsidRPr="00F544A2">
        <w:rPr>
          <w:sz w:val="24"/>
        </w:rPr>
        <w:t xml:space="preserve">Methodologies </w:t>
      </w:r>
      <w:r>
        <w:rPr>
          <w:sz w:val="24"/>
        </w:rPr>
        <w:t xml:space="preserve">and interventions </w:t>
      </w:r>
      <w:r w:rsidRPr="00F544A2">
        <w:rPr>
          <w:sz w:val="24"/>
        </w:rPr>
        <w:t xml:space="preserve">to </w:t>
      </w:r>
      <w:r>
        <w:rPr>
          <w:sz w:val="24"/>
        </w:rPr>
        <w:t xml:space="preserve">increase ASF quality and avoid food wastage </w:t>
      </w:r>
    </w:p>
    <w:p w:rsidR="00C36D68" w:rsidRPr="00C36D68" w:rsidRDefault="00C36D68" w:rsidP="00C36D68">
      <w:pPr>
        <w:pStyle w:val="ListParagraph"/>
        <w:ind w:left="1440"/>
        <w:rPr>
          <w:sz w:val="24"/>
        </w:rPr>
      </w:pPr>
    </w:p>
    <w:p w:rsidR="00442A2E" w:rsidRDefault="00442A2E" w:rsidP="00C36D68">
      <w:pPr>
        <w:pStyle w:val="ListParagraph"/>
        <w:numPr>
          <w:ilvl w:val="0"/>
          <w:numId w:val="13"/>
        </w:numPr>
      </w:pPr>
      <w:r w:rsidRPr="00C36D68">
        <w:rPr>
          <w:b/>
        </w:rPr>
        <w:t>Transforming Systems and Scaling</w:t>
      </w:r>
      <w:r>
        <w:t xml:space="preserve">: This is the delivery Flagship where the program focuses its effort to assess problems, test solutions, develop interventions and take to scale. This continues </w:t>
      </w:r>
      <w:r>
        <w:lastRenderedPageBreak/>
        <w:t>the effort to improve our capacity to work in a</w:t>
      </w:r>
      <w:r w:rsidR="0014531A">
        <w:t>n</w:t>
      </w:r>
      <w:r>
        <w:t xml:space="preserve"> interdisciplinary mode </w:t>
      </w:r>
      <w:r w:rsidR="0014531A">
        <w:t xml:space="preserve">to create and improve </w:t>
      </w:r>
      <w:proofErr w:type="gramStart"/>
      <w:r w:rsidR="0014531A">
        <w:t>synergies</w:t>
      </w:r>
      <w:proofErr w:type="gramEnd"/>
      <w:r w:rsidR="0014531A">
        <w:t xml:space="preserve"> across disciplines, to inform and improve the relevance and urgency of the research agenda undertaken in the discovery Flagships, and to provide a shared ‘field laboratory’ where commitments can be made to produce outcomes and achieve impact. Two sets of sites are envisaged: (1) taking responsibility for injecting the animal dimensions within the Systems CRPs’ sites </w:t>
      </w:r>
      <w:r w:rsidR="000C730E">
        <w:t xml:space="preserve">to address the multiple uses of animals in their focus agricultural systems; and (2) continuing the focus on achieving inclusive and sustainable ASF </w:t>
      </w:r>
      <w:proofErr w:type="spellStart"/>
      <w:r w:rsidR="000C730E">
        <w:t>agri</w:t>
      </w:r>
      <w:proofErr w:type="spellEnd"/>
      <w:r w:rsidR="000C730E">
        <w:t>-food systems in selected value chains.</w:t>
      </w:r>
      <w:r w:rsidR="00622678">
        <w:t xml:space="preserve"> Strong emphasis is given to working closely with development partners and developing appropriate business models </w:t>
      </w:r>
    </w:p>
    <w:p w:rsidR="00D84195" w:rsidRDefault="00D84195" w:rsidP="00D84195">
      <w:pPr>
        <w:pStyle w:val="ListParagraph"/>
        <w:numPr>
          <w:ilvl w:val="1"/>
          <w:numId w:val="13"/>
        </w:numPr>
      </w:pPr>
      <w:r w:rsidRPr="00D84195">
        <w:t>All of the value chain-</w:t>
      </w:r>
      <w:r>
        <w:t>related features listed under Scenario 1.</w:t>
      </w:r>
    </w:p>
    <w:p w:rsidR="00D84195" w:rsidRDefault="000D2E27" w:rsidP="00D84195">
      <w:pPr>
        <w:pStyle w:val="ListParagraph"/>
        <w:numPr>
          <w:ilvl w:val="1"/>
          <w:numId w:val="13"/>
        </w:numPr>
      </w:pPr>
      <w:r>
        <w:t>Strategies specific to integrating animal-focused interventions within the Systems CRPs</w:t>
      </w:r>
    </w:p>
    <w:p w:rsidR="000D2E27" w:rsidRDefault="000D2E27" w:rsidP="00D84195">
      <w:pPr>
        <w:pStyle w:val="ListParagraph"/>
        <w:numPr>
          <w:ilvl w:val="1"/>
          <w:numId w:val="13"/>
        </w:numPr>
      </w:pPr>
      <w:r>
        <w:t>Develop a mechanism within the CRP that demonstrates a dedicated capacity and investment to linking more dynamically and effectively into the work in the System CRPs’ sites.</w:t>
      </w:r>
      <w:bookmarkStart w:id="0" w:name="_GoBack"/>
      <w:bookmarkEnd w:id="0"/>
    </w:p>
    <w:p w:rsidR="00E33FD6" w:rsidRDefault="00E33FD6" w:rsidP="00E963BE"/>
    <w:p w:rsidR="005B6579" w:rsidRDefault="005B6579" w:rsidP="005B6579"/>
    <w:p w:rsidR="005B6579" w:rsidRDefault="005B6579" w:rsidP="005B6579"/>
    <w:sectPr w:rsidR="005B65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4D27"/>
    <w:multiLevelType w:val="hybridMultilevel"/>
    <w:tmpl w:val="736A16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08E3E91"/>
    <w:multiLevelType w:val="hybridMultilevel"/>
    <w:tmpl w:val="FC865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FE6191"/>
    <w:multiLevelType w:val="hybridMultilevel"/>
    <w:tmpl w:val="8624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E45AAF"/>
    <w:multiLevelType w:val="hybridMultilevel"/>
    <w:tmpl w:val="80DE5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2415B3E"/>
    <w:multiLevelType w:val="hybridMultilevel"/>
    <w:tmpl w:val="449207E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92229E2"/>
    <w:multiLevelType w:val="hybridMultilevel"/>
    <w:tmpl w:val="216EB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B2377EB"/>
    <w:multiLevelType w:val="hybridMultilevel"/>
    <w:tmpl w:val="9E1C3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F">
      <w:start w:val="1"/>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2E8113C"/>
    <w:multiLevelType w:val="hybridMultilevel"/>
    <w:tmpl w:val="EEAA8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6CA38F9"/>
    <w:multiLevelType w:val="hybridMultilevel"/>
    <w:tmpl w:val="C1C08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D6F2AEA"/>
    <w:multiLevelType w:val="hybridMultilevel"/>
    <w:tmpl w:val="33220AC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0">
    <w:nsid w:val="6A660BE2"/>
    <w:multiLevelType w:val="hybridMultilevel"/>
    <w:tmpl w:val="2ADCA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01A65D7"/>
    <w:multiLevelType w:val="hybridMultilevel"/>
    <w:tmpl w:val="4D982E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B1B028D"/>
    <w:multiLevelType w:val="hybridMultilevel"/>
    <w:tmpl w:val="36281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32536D"/>
    <w:multiLevelType w:val="hybridMultilevel"/>
    <w:tmpl w:val="8362B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3"/>
  </w:num>
  <w:num w:numId="4">
    <w:abstractNumId w:val="1"/>
  </w:num>
  <w:num w:numId="5">
    <w:abstractNumId w:val="11"/>
  </w:num>
  <w:num w:numId="6">
    <w:abstractNumId w:val="3"/>
  </w:num>
  <w:num w:numId="7">
    <w:abstractNumId w:val="10"/>
  </w:num>
  <w:num w:numId="8">
    <w:abstractNumId w:val="9"/>
  </w:num>
  <w:num w:numId="9">
    <w:abstractNumId w:val="12"/>
  </w:num>
  <w:num w:numId="10">
    <w:abstractNumId w:val="7"/>
  </w:num>
  <w:num w:numId="11">
    <w:abstractNumId w:val="0"/>
  </w:num>
  <w:num w:numId="12">
    <w:abstractNumId w:val="4"/>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650"/>
    <w:rsid w:val="0000150A"/>
    <w:rsid w:val="000C730E"/>
    <w:rsid w:val="000D2E27"/>
    <w:rsid w:val="0010014B"/>
    <w:rsid w:val="00130EE4"/>
    <w:rsid w:val="0014531A"/>
    <w:rsid w:val="00186BCE"/>
    <w:rsid w:val="001B21E1"/>
    <w:rsid w:val="003F61C7"/>
    <w:rsid w:val="00420A1D"/>
    <w:rsid w:val="00442A2E"/>
    <w:rsid w:val="00475EEC"/>
    <w:rsid w:val="00497511"/>
    <w:rsid w:val="004A10AC"/>
    <w:rsid w:val="004B3296"/>
    <w:rsid w:val="004B3B87"/>
    <w:rsid w:val="004B786C"/>
    <w:rsid w:val="004F6823"/>
    <w:rsid w:val="005455BD"/>
    <w:rsid w:val="005B6579"/>
    <w:rsid w:val="0060721E"/>
    <w:rsid w:val="00622678"/>
    <w:rsid w:val="006A05BF"/>
    <w:rsid w:val="006C620D"/>
    <w:rsid w:val="0077563F"/>
    <w:rsid w:val="008147E6"/>
    <w:rsid w:val="009878F5"/>
    <w:rsid w:val="00AD4650"/>
    <w:rsid w:val="00B07528"/>
    <w:rsid w:val="00B25A15"/>
    <w:rsid w:val="00BD275A"/>
    <w:rsid w:val="00C36D68"/>
    <w:rsid w:val="00CC4F03"/>
    <w:rsid w:val="00CE13EB"/>
    <w:rsid w:val="00D34AE0"/>
    <w:rsid w:val="00D84195"/>
    <w:rsid w:val="00E278FC"/>
    <w:rsid w:val="00E33FD6"/>
    <w:rsid w:val="00E7572D"/>
    <w:rsid w:val="00E963BE"/>
    <w:rsid w:val="00F25D3E"/>
    <w:rsid w:val="00F56BE9"/>
    <w:rsid w:val="00FD6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A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A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2057</TotalTime>
  <Pages>6</Pages>
  <Words>2039</Words>
  <Characters>11627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Randolph, Thomas Fitz (ILRI)</dc:creator>
  <cp:lastModifiedBy>Randolph, Thomas Fitz (ILRI)</cp:lastModifiedBy>
  <cp:revision>1</cp:revision>
  <dcterms:created xsi:type="dcterms:W3CDTF">2015-01-19T04:29:00Z</dcterms:created>
  <dcterms:modified xsi:type="dcterms:W3CDTF">2015-01-22T15:46:00Z</dcterms:modified>
</cp:coreProperties>
</file>